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 xml:space="preserve">COUNTY and </w:t>
      </w:r>
      <w:r w:rsidR="00930C15">
        <w:rPr>
          <w:rFonts w:ascii="Bookman Old Style" w:hAnsi="Bookman Old Style" w:cs="Bookman Old Style"/>
          <w:b/>
          <w:bCs/>
        </w:rPr>
        <w:t xml:space="preserve">OGDEN </w:t>
      </w:r>
      <w:r w:rsidR="00516780">
        <w:rPr>
          <w:rFonts w:ascii="Bookman Old Style" w:hAnsi="Bookman Old Style" w:cs="Bookman Old Style"/>
          <w:b/>
          <w:bCs/>
        </w:rPr>
        <w:t>DINOSAUR PARK AND MUSEUM FOUNDATION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F57227">
        <w:rPr>
          <w:rFonts w:ascii="Bookman Old Style" w:hAnsi="Bookman Old Style" w:cs="Bookman Old Style"/>
        </w:rPr>
        <w:t xml:space="preserve">OGDEN </w:t>
      </w:r>
      <w:r w:rsidR="00DE3404">
        <w:rPr>
          <w:rFonts w:ascii="Bookman Old Style" w:hAnsi="Bookman Old Style" w:cs="Bookman Old Style"/>
        </w:rPr>
        <w:t>DINOSAUR PARK AND MUSEUM FOUNDATION</w:t>
      </w:r>
      <w:r w:rsidR="005525F2">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DE3404">
        <w:rPr>
          <w:rFonts w:ascii="Bookman Old Style" w:hAnsi="Bookman Old Style" w:cs="Bookman Old Style"/>
        </w:rPr>
        <w:t>1544 Park</w:t>
      </w:r>
      <w:r w:rsidR="00930C15">
        <w:rPr>
          <w:rFonts w:ascii="Bookman Old Style" w:hAnsi="Bookman Old Style" w:cs="Bookman Old Style"/>
        </w:rPr>
        <w:t xml:space="preserve"> Blvd., </w:t>
      </w:r>
      <w:r w:rsidR="0083762E">
        <w:rPr>
          <w:rFonts w:ascii="Bookman Old Style" w:hAnsi="Bookman Old Style" w:cs="Bookman Old Style"/>
        </w:rPr>
        <w:t>Ogden, UT 844</w:t>
      </w:r>
      <w:r w:rsidR="005525F2">
        <w:rPr>
          <w:rFonts w:ascii="Bookman Old Style" w:hAnsi="Bookman Old Style" w:cs="Bookman Old Style"/>
        </w:rPr>
        <w:t>01</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454CB6">
        <w:rPr>
          <w:rFonts w:ascii="Bookman Old Style" w:hAnsi="Bookman Old Style" w:cs="Bookman Old Style"/>
        </w:rPr>
        <w:t>Education and Technology</w:t>
      </w:r>
      <w:r w:rsidRPr="00F8426E">
        <w:rPr>
          <w:rFonts w:ascii="Bookman Old Style" w:hAnsi="Bookman Old Style" w:cs="Bookman Old Style"/>
        </w:rPr>
        <w:tab/>
        <w:t>$</w:t>
      </w:r>
      <w:r w:rsidR="00454CB6">
        <w:rPr>
          <w:rFonts w:ascii="Bookman Old Style" w:hAnsi="Bookman Old Style" w:cs="Bookman Old Style"/>
        </w:rPr>
        <w:t>7</w:t>
      </w:r>
      <w:r w:rsidR="00F57227">
        <w:rPr>
          <w:rFonts w:ascii="Bookman Old Style" w:hAnsi="Bookman Old Style" w:cs="Bookman Old Style"/>
        </w:rPr>
        <w:t>0</w:t>
      </w:r>
      <w:r w:rsidR="00DA03E1">
        <w:rPr>
          <w:rFonts w:ascii="Bookman Old Style" w:hAnsi="Bookman Old Style" w:cs="Bookman Old Style"/>
        </w:rPr>
        <w:t>,000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w:t>
      </w:r>
      <w:r w:rsidR="00454CB6">
        <w:rPr>
          <w:rFonts w:ascii="Bookman Old Style" w:hAnsi="Bookman Old Style" w:cs="Bookman Old Style"/>
        </w:rPr>
        <w:t xml:space="preserve">described herein regardless of </w:t>
      </w:r>
      <w:r w:rsidRPr="00F8426E">
        <w:rPr>
          <w:rFonts w:ascii="Bookman Old Style" w:hAnsi="Bookman Old Style" w:cs="Bookman Old Style"/>
        </w:rPr>
        <w:t xml:space="preserve">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DA03E1">
        <w:rPr>
          <w:rFonts w:ascii="Bookman Old Style" w:hAnsi="Bookman Old Style" w:cs="Bookman Old Style"/>
        </w:rPr>
        <w:t xml:space="preserve">OGDEN </w:t>
      </w:r>
      <w:r w:rsidR="00454CB6">
        <w:rPr>
          <w:rFonts w:ascii="Bookman Old Style" w:hAnsi="Bookman Old Style" w:cs="Bookman Old Style"/>
        </w:rPr>
        <w:t>DINOSAUR PARK AND MUSEUM FOUNDATION</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AF31FC"/>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02" w:rsidRDefault="00FC3902" w:rsidP="00F8426E">
      <w:pPr>
        <w:spacing w:after="0" w:line="240" w:lineRule="auto"/>
      </w:pPr>
      <w:r>
        <w:separator/>
      </w:r>
    </w:p>
  </w:endnote>
  <w:endnote w:type="continuationSeparator" w:id="0">
    <w:p w:rsidR="00FC3902" w:rsidRDefault="00FC3902"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02" w:rsidRDefault="00FC3902" w:rsidP="00F8426E">
      <w:pPr>
        <w:spacing w:after="0" w:line="240" w:lineRule="auto"/>
      </w:pPr>
      <w:r>
        <w:separator/>
      </w:r>
    </w:p>
  </w:footnote>
  <w:footnote w:type="continuationSeparator" w:id="0">
    <w:p w:rsidR="00FC3902" w:rsidRDefault="00FC3902"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0A0DC0"/>
    <w:rsid w:val="00145777"/>
    <w:rsid w:val="0019178D"/>
    <w:rsid w:val="00272F8F"/>
    <w:rsid w:val="002826AE"/>
    <w:rsid w:val="00385E14"/>
    <w:rsid w:val="00417227"/>
    <w:rsid w:val="00454CB6"/>
    <w:rsid w:val="0047635F"/>
    <w:rsid w:val="00516780"/>
    <w:rsid w:val="005525F2"/>
    <w:rsid w:val="00582A51"/>
    <w:rsid w:val="005D6D5A"/>
    <w:rsid w:val="006363F6"/>
    <w:rsid w:val="0083762E"/>
    <w:rsid w:val="00930C15"/>
    <w:rsid w:val="009A47BB"/>
    <w:rsid w:val="00AF31FC"/>
    <w:rsid w:val="00BD0885"/>
    <w:rsid w:val="00C02BE8"/>
    <w:rsid w:val="00CA3949"/>
    <w:rsid w:val="00CF4DFA"/>
    <w:rsid w:val="00DA03E1"/>
    <w:rsid w:val="00DE3404"/>
    <w:rsid w:val="00E11337"/>
    <w:rsid w:val="00F57227"/>
    <w:rsid w:val="00F8426E"/>
    <w:rsid w:val="00FB6A89"/>
    <w:rsid w:val="00FC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 w:type="paragraph" w:styleId="BalloonText">
    <w:name w:val="Balloon Text"/>
    <w:basedOn w:val="Normal"/>
    <w:link w:val="BalloonTextChar"/>
    <w:uiPriority w:val="99"/>
    <w:semiHidden/>
    <w:unhideWhenUsed/>
    <w:rsid w:val="00DE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cp:lastPrinted>2021-04-27T20:19:00Z</cp:lastPrinted>
  <dcterms:created xsi:type="dcterms:W3CDTF">2021-05-21T16:17:00Z</dcterms:created>
  <dcterms:modified xsi:type="dcterms:W3CDTF">2021-05-21T16:17:00Z</dcterms:modified>
</cp:coreProperties>
</file>